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ef53d5b980b3f51791d7e92c0145d2b3d26529"/>
    <w:p>
      <w:pPr>
        <w:pStyle w:val="Heading3"/>
      </w:pPr>
      <w:r>
        <w:t xml:space="preserve">Разъяснение 231 военной прокуратуры гарнизона</w:t>
      </w:r>
    </w:p>
    <w:p>
      <w:pPr>
        <w:pStyle w:val="FirstParagraph"/>
      </w:pPr>
      <w:r>
        <w:t xml:space="preserve">29.05.2024</w:t>
      </w:r>
    </w:p>
    <w:bookmarkEnd w:id="20"/>
    <w:bookmarkStart w:id="21" w:name="section"/>
    <w:p>
      <w:pPr>
        <w:pStyle w:val="Heading1"/>
      </w:pPr>
    </w:p>
    <w:bookmarkEnd w:id="21"/>
    <w:p>
      <w:pPr>
        <w:pStyle w:val="FirstParagraph"/>
      </w:pPr>
      <w:r>
        <w:rPr>
          <w:bCs/>
          <w:b/>
        </w:rPr>
        <w:t xml:space="preserve">Указом Президента Российской Федерации от 11.03.2024 № 181 установлены дополнительные меры социальной поддержки лицам гражданского персонала Вооруженных Сил Российской Федерации, а также федеральным государственным гражданским служащим и работникам:</w:t>
      </w:r>
    </w:p>
    <w:p>
      <w:pPr>
        <w:pStyle w:val="BodyText"/>
      </w:pPr>
      <w:r>
        <w:t xml:space="preserve">- органов исполнительной власти (федеральных государственных органов),</w:t>
      </w:r>
      <w:r>
        <w:br/>
      </w:r>
      <w:r>
        <w:t xml:space="preserve">в которых предусмотрена военная служба;</w:t>
      </w:r>
    </w:p>
    <w:p>
      <w:pPr>
        <w:pStyle w:val="BodyText"/>
      </w:pPr>
      <w:r>
        <w:t xml:space="preserve">- органов внутренних дел Российской Федерации;</w:t>
      </w:r>
    </w:p>
    <w:p>
      <w:pPr>
        <w:pStyle w:val="BodyText"/>
      </w:pPr>
      <w:r>
        <w:t xml:space="preserve">- учреждений и органов уголовно-исполнительной системы Российской Федерации;</w:t>
      </w:r>
    </w:p>
    <w:p>
      <w:pPr>
        <w:pStyle w:val="BodyText"/>
      </w:pPr>
      <w:r>
        <w:t xml:space="preserve">- органов принудительного исполнения Российской Федерации;</w:t>
      </w:r>
    </w:p>
    <w:p>
      <w:pPr>
        <w:pStyle w:val="BodyText"/>
      </w:pPr>
      <w:r>
        <w:t xml:space="preserve">- органов федеральной фельдъегерской связи, таможенных органов Российской Федерации, организаций Федеральной таможенной службы.</w:t>
      </w:r>
    </w:p>
    <w:p>
      <w:pPr>
        <w:pStyle w:val="BodyText"/>
      </w:pPr>
      <w:r>
        <w:rPr>
          <w:bCs/>
          <w:b/>
        </w:rPr>
        <w:t xml:space="preserve">Меры социальной поддержки предоставляются данным категориям граждан, если они:</w:t>
      </w:r>
    </w:p>
    <w:p>
      <w:pPr>
        <w:pStyle w:val="BodyText"/>
      </w:pPr>
      <w:r>
        <w:t xml:space="preserve">- принимали с 24.02.2022 непосредственное участие в обеспечении выполнения задач в ходе СВО на территориях Донецкой и Луганской Народных Республик, Запорожской и Херсонских областей, а также Украины или на территориях субъектов Российской Федерации, прилегающих</w:t>
      </w:r>
      <w:r>
        <w:br/>
      </w:r>
      <w:r>
        <w:t xml:space="preserve">к районам проведения СВО;</w:t>
      </w:r>
    </w:p>
    <w:p>
      <w:pPr>
        <w:pStyle w:val="BodyText"/>
      </w:pPr>
      <w:r>
        <w:t xml:space="preserve">- принимали непосредственное участие в обеспечении выполнения специальных задач на территории Сирийской Арабской Республики.</w:t>
      </w:r>
    </w:p>
    <w:p>
      <w:pPr>
        <w:pStyle w:val="BodyText"/>
      </w:pPr>
      <w:r>
        <w:t xml:space="preserve">Указанным лицам, получившим увечье (ранение, травму, контузию) при обеспечении выполнения перечисленных задач, осуществляется единовременная выплата в размере 3 млн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http://sokol.mos.ru/security/the-prosecutor-s-office/detail/12394254.html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security/the-prosecutor-s-office/detail/12394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security/the-prosecutor-s-office/detail/12394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2025-07-13T13:30:13Z</dcterms:created>
  <dcterms:modified xsi:type="dcterms:W3CDTF">2025-07-13T13:30:13Z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