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ea7ae19c502c4eff87404e454958424eff8146"/>
    <w:p>
      <w:pPr>
        <w:pStyle w:val="Heading3"/>
      </w:pPr>
      <w:r>
        <w:t xml:space="preserve">«Савеловский межрайонный прокурор г. Москвы разъясняет»: принят Федеральный закон, регулирующий работу блогеров.</w:t>
      </w:r>
    </w:p>
    <w:p>
      <w:pPr>
        <w:pStyle w:val="FirstParagraph"/>
      </w:pPr>
      <w:r>
        <w:t xml:space="preserve">13.11.2024</w:t>
      </w:r>
    </w:p>
    <w:p>
      <w:pPr>
        <w:pStyle w:val="BodyText"/>
      </w:pPr>
      <w:r>
        <w:t xml:space="preserve">С 1 ноября 2024 года владельцы страниц в социальных сетях с аудиторией более 10 тыс. человек должны будут передавать данные о себе в Роскомнадзор, иначе они не смогут размещать рекламу и принимать денежные средства, а их сообщения нельзя будет пересылать другим каналам.</w:t>
      </w:r>
    </w:p>
    <w:p>
      <w:pPr>
        <w:pStyle w:val="BodyText"/>
      </w:pPr>
      <w:r>
        <w:t xml:space="preserve">С 1 января 2025 года соцсети обяжут в течение суток блокировать страницы тех, кто не передал данные о себе в реестр.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http://sokol.mos.ru/security/the-prosecutor-s-office/detail/12658708.html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.mos.ru" TargetMode="External" /><Relationship Type="http://schemas.openxmlformats.org/officeDocument/2006/relationships/hyperlink" Id="rId20" Target="http://sokol.mos.ru/security/the-prosecutor-s-office/detail/126587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.mos.ru" TargetMode="External" /><Relationship Type="http://schemas.openxmlformats.org/officeDocument/2006/relationships/hyperlink" Id="rId20" Target="http://sokol.mos.ru/security/the-prosecutor-s-office/detail/126587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2025-07-12T01:28:34Z</dcterms:created>
  <dcterms:modified xsi:type="dcterms:W3CDTF">2025-07-12T01:28:34Z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