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87e344212f8afba9326843f3ab2d2fa35a1b0"/>
    <w:p>
      <w:pPr>
        <w:pStyle w:val="Heading3"/>
      </w:pPr>
      <w:r>
        <w:t xml:space="preserve">«Савеловский межрайонный прокурор г. Москвы разъясняет»: принят закон о повышении государственных пошлин.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С 1 января 2025 года вырастут государственные пошлины за регистрацию ряда прав и сделок с недвижимостью.</w:t>
      </w:r>
    </w:p>
    <w:p>
      <w:pPr>
        <w:pStyle w:val="BodyText"/>
      </w:pPr>
      <w:r>
        <w:t xml:space="preserve">Так, за госрегистрацию договора аренды или уступки прав физическое лицо должно будет заплатить 4 тысячи рублей, а юридическое - 44 тысячи.</w:t>
      </w:r>
    </w:p>
    <w:p>
      <w:pPr>
        <w:pStyle w:val="BodyText"/>
      </w:pPr>
      <w:r>
        <w:t xml:space="preserve">Также вырастет плата за кадастровый учет предприятия и пошлина за госрегистрацию сделок с недвижимостью ПИФов (паевых инвестиционных фондов).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http://sokol.mos.ru/security/the-prosecutor-s-office/detail/12658713.html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658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658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2024-11-14T04:23:43Z</dcterms:created>
  <dcterms:modified xsi:type="dcterms:W3CDTF">2024-11-14T04:23:43Z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