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70e44fc8bb88b19dc76561447a6699f203891"/>
    <w:p>
      <w:pPr>
        <w:pStyle w:val="Heading3"/>
      </w:pPr>
      <w:r>
        <w:t xml:space="preserve">Савеловский межрайонный прокурор города Москвы разъясняет: памятка кандидатам в присяжные заседатели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drawing>
          <wp:inline>
            <wp:extent cx="5334000" cy="75609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.mos.ru/www/6dfd3088-5933-499c-aba4-a48baf013b6e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http://sokol.mos.ru/security/the-prosecutor-s-office/detail/12678549.html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security/the-prosecutor-s-office/detail/12678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security/the-prosecutor-s-office/detail/12678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2025-07-06T17:20:47Z</dcterms:created>
  <dcterms:modified xsi:type="dcterms:W3CDTF">2025-07-06T17:20:47Z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