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22c2fcc11e86eb4e5ef7a32b54d1d88485cbde"/>
    <w:p>
      <w:pPr>
        <w:pStyle w:val="Heading3"/>
      </w:pPr>
      <w:r>
        <w:t xml:space="preserve">Пpoкуpатуpa в судебнoм пopядке зaщитилa пpaвa пенсионеpки, постpaдавшей от мошеннических действий</w:t>
      </w:r>
    </w:p>
    <w:p>
      <w:pPr>
        <w:pStyle w:val="FirstParagraph"/>
      </w:pPr>
      <w:r>
        <w:t xml:space="preserve">25.06.2025</w:t>
      </w:r>
    </w:p>
    <w:p>
      <w:pPr>
        <w:pStyle w:val="BodyText"/>
      </w:pPr>
      <w:r>
        <w:t xml:space="preserve">В Савеловскую межрайонную прокуратуру обратилась пенсионерка с заявлением о защите ее прав в судебном порядке в связи с совершением в отношении нее противоправных действий.</w:t>
      </w:r>
      <w:r>
        <w:t xml:space="preserve"> </w:t>
      </w:r>
      <w:r>
        <w:t xml:space="preserve">Женщина является потерпевшей по уголовному делу, возбужденному по ч. 4 ст. 159 УК РФ (мошенничество в особо крупном размере).</w:t>
      </w:r>
      <w:r>
        <w:t xml:space="preserve"> </w:t>
      </w:r>
      <w:r>
        <w:t xml:space="preserve">Изучением материалов уголовного дела установлено, что в ноябре 2023 года злоумышленники путем обмана убедили женщину перевести денежные средства на «безопасный счет». Введенная в заблуждение пенсионерка, полагая, что убережет свои сбережения, перевела на указанный ей аферистами банковский счет более 1,9 млн рублей.</w:t>
      </w:r>
      <w:r>
        <w:t xml:space="preserve"> </w:t>
      </w:r>
      <w:r>
        <w:t xml:space="preserve">В ходе предварительного расследования уголовного дела установлена личность владельца банковского счета, на который потерпевшая перевела свои денежные средства.</w:t>
      </w:r>
      <w:r>
        <w:t xml:space="preserve"> </w:t>
      </w:r>
      <w:r>
        <w:t xml:space="preserve">В целях защиты имущественных прав потерпевшего прокурор направил в Шатурский городской суд Московской области исковое заявление о взыскании в пользу пенсионерки с получателя неосновательного обогащения более 1,9 млн рублей и процентов за пользование чужими денежными средствами.</w:t>
      </w:r>
      <w:r>
        <w:t xml:space="preserve"> </w:t>
      </w:r>
      <w:r>
        <w:t xml:space="preserve">Исковые требования прокурора судом удовлетворены в полном объеме. С ответчика в пользу потерпевшей взысканы денежные средства с учетом процентов на общую сумму более 2,3 млн рублей.</w:t>
      </w:r>
      <w:r>
        <w:t xml:space="preserve"> </w:t>
      </w:r>
      <w:r>
        <w:t xml:space="preserve">После вступления решения в законную силу прокуратура проконтролирует его исполнение.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http://sokol.mos.ru/security/the-prosecutor-s-office/detail/13060429.html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.mos.ru" TargetMode="External" /><Relationship Type="http://schemas.openxmlformats.org/officeDocument/2006/relationships/hyperlink" Id="rId20" Target="http://sokol.mos.ru/security/the-prosecutor-s-office/detail/130604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.mos.ru" TargetMode="External" /><Relationship Type="http://schemas.openxmlformats.org/officeDocument/2006/relationships/hyperlink" Id="rId20" Target="http://sokol.mos.ru/security/the-prosecutor-s-office/detail/130604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2025-08-04T10:59:39Z</dcterms:created>
  <dcterms:modified xsi:type="dcterms:W3CDTF">2025-08-04T10:59:39Z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