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7e39bf3c53925c5cca2ec22ae85690e7e0810"/>
    <w:p>
      <w:pPr>
        <w:pStyle w:val="Heading3"/>
      </w:pPr>
      <w:r>
        <w:t xml:space="preserve">Прокуратура контролирует установление обстоятельств причинения мужчине телесных повреждений на севере Москвы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Ночью 26 апреля 2025 года около подъезда жилого дома на ул. Новая Башиловка между двумя мужчинами произошел конфликт, в ходе драки один из оппонентов нанес второму несколько колото-резанных ранений.</w:t>
      </w:r>
      <w:r>
        <w:t xml:space="preserve"> </w:t>
      </w:r>
      <w:r>
        <w:t xml:space="preserve">42-летний мужчина в тяжелом состоянии был госпитализирован в одну из столичных больниц.</w:t>
      </w:r>
      <w:r>
        <w:t xml:space="preserve"> </w:t>
      </w:r>
      <w:r>
        <w:t xml:space="preserve">Принятие процессуального решения о возбуждении уголовного дела и привлечение фигуранта к уголовной ответственности на контроле в Савеловской межрайонной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http://sokol.mos.ru/security/the-prosecutor-s-office/detail/13060451.html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2025-07-30T17:33:49Z</dcterms:created>
  <dcterms:modified xsi:type="dcterms:W3CDTF">2025-07-30T17:33:49Z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